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B4CD7" w14:textId="77777777" w:rsidR="004466A5" w:rsidRDefault="00000000">
      <w:pPr>
        <w:spacing w:before="120" w:after="40"/>
      </w:pPr>
      <w:r>
        <w:rPr>
          <w:b/>
          <w:bCs/>
          <w:color w:val="946600"/>
          <w:spacing w:val="40"/>
          <w:sz w:val="17"/>
          <w:szCs w:val="17"/>
        </w:rPr>
        <w:t>DIAGRAMM-BAUKASTEN</w:t>
      </w:r>
    </w:p>
    <w:p w14:paraId="717F8B8D" w14:textId="77777777" w:rsidR="004466A5" w:rsidRDefault="00000000">
      <w:pPr>
        <w:pStyle w:val="Titel"/>
      </w:pPr>
      <w:r>
        <w:t>Welches Diagramm wofür?</w:t>
      </w:r>
    </w:p>
    <w:p w14:paraId="451989F2" w14:textId="77777777" w:rsidR="004466A5" w:rsidRDefault="00000000">
      <w:pPr>
        <w:spacing w:after="200"/>
      </w:pPr>
      <w:r>
        <w:rPr>
          <w:color w:val="5B6577"/>
          <w:sz w:val="22"/>
          <w:szCs w:val="22"/>
        </w:rPr>
        <w:t>14 Diagrammtypen mit Beispielen aus dem Qualitätsmanagement – wann Sie welches Diagramm einsetzen und worauf Sie achten sollten.</w:t>
      </w:r>
    </w:p>
    <w:p w14:paraId="7FCDEE23" w14:textId="77777777" w:rsidR="004466A5" w:rsidRDefault="00000000">
      <w:pPr>
        <w:pStyle w:val="berschrift2"/>
      </w:pPr>
      <w:r>
        <w:t>Schnellübersicht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438"/>
      </w:tblGrid>
      <w:tr w:rsidR="004466A5" w14:paraId="14C1CFE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35C421" w14:textId="77777777" w:rsidR="004466A5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Fragestellung</w:t>
            </w:r>
          </w:p>
        </w:tc>
        <w:tc>
          <w:tcPr>
            <w:tcW w:w="5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B1F2F1" w14:textId="77777777" w:rsidR="004466A5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Geeignete Diagramme</w:t>
            </w:r>
          </w:p>
        </w:tc>
      </w:tr>
      <w:tr w:rsidR="004466A5" w14:paraId="2B03C3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52C921" w14:textId="77777777" w:rsidR="004466A5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Kategorien vergleichen</w:t>
            </w:r>
          </w:p>
        </w:tc>
        <w:tc>
          <w:tcPr>
            <w:tcW w:w="5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AF7DE" w14:textId="77777777" w:rsidR="004466A5" w:rsidRDefault="00000000">
            <w:pPr>
              <w:spacing w:after="0"/>
            </w:pPr>
            <w:r>
              <w:rPr>
                <w:sz w:val="18"/>
                <w:szCs w:val="18"/>
              </w:rPr>
              <w:t>Säulen- und Balkendiagramm, Piktogramm</w:t>
            </w:r>
          </w:p>
        </w:tc>
      </w:tr>
      <w:tr w:rsidR="004466A5" w14:paraId="7CF46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68885D" w14:textId="77777777" w:rsidR="004466A5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Entwicklung über die Zeit</w:t>
            </w:r>
          </w:p>
        </w:tc>
        <w:tc>
          <w:tcPr>
            <w:tcW w:w="5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42962" w14:textId="77777777" w:rsidR="004466A5" w:rsidRDefault="00000000">
            <w:pPr>
              <w:spacing w:after="0"/>
            </w:pPr>
            <w:r>
              <w:rPr>
                <w:sz w:val="18"/>
                <w:szCs w:val="18"/>
              </w:rPr>
              <w:t>Liniendiagramm, Flächendiagramm</w:t>
            </w:r>
          </w:p>
        </w:tc>
      </w:tr>
      <w:tr w:rsidR="004466A5" w14:paraId="49DE87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212387" w14:textId="77777777" w:rsidR="004466A5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Anteile an einem Ganzen</w:t>
            </w:r>
          </w:p>
        </w:tc>
        <w:tc>
          <w:tcPr>
            <w:tcW w:w="5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CBD7F" w14:textId="77777777" w:rsidR="004466A5" w:rsidRDefault="00000000">
            <w:pPr>
              <w:spacing w:after="0"/>
            </w:pPr>
            <w:r>
              <w:rPr>
                <w:sz w:val="18"/>
                <w:szCs w:val="18"/>
              </w:rPr>
              <w:t>Kreisdiagramm, Piktogramm</w:t>
            </w:r>
          </w:p>
        </w:tc>
      </w:tr>
      <w:tr w:rsidR="004466A5" w14:paraId="53BD29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05104F" w14:textId="77777777" w:rsidR="004466A5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Zusammenhang zweier Größen</w:t>
            </w:r>
          </w:p>
        </w:tc>
        <w:tc>
          <w:tcPr>
            <w:tcW w:w="5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FA015" w14:textId="77777777" w:rsidR="004466A5" w:rsidRDefault="00000000">
            <w:pPr>
              <w:spacing w:after="0"/>
            </w:pPr>
            <w:r>
              <w:rPr>
                <w:sz w:val="18"/>
                <w:szCs w:val="18"/>
              </w:rPr>
              <w:t>Streudiagramm</w:t>
            </w:r>
          </w:p>
        </w:tc>
      </w:tr>
      <w:tr w:rsidR="004466A5" w14:paraId="7CB5F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E87F32" w14:textId="77777777" w:rsidR="004466A5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Verteilung von Messwerten</w:t>
            </w:r>
          </w:p>
        </w:tc>
        <w:tc>
          <w:tcPr>
            <w:tcW w:w="5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6473A9" w14:textId="77777777" w:rsidR="004466A5" w:rsidRDefault="00000000">
            <w:pPr>
              <w:spacing w:after="0"/>
            </w:pPr>
            <w:r>
              <w:rPr>
                <w:sz w:val="18"/>
                <w:szCs w:val="18"/>
              </w:rPr>
              <w:t>Histogramm, Boxplot</w:t>
            </w:r>
          </w:p>
        </w:tc>
      </w:tr>
      <w:tr w:rsidR="004466A5" w14:paraId="72EA8F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3545F" w14:textId="77777777" w:rsidR="004466A5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Mehrere Kriterien, Soll und Ist</w:t>
            </w:r>
          </w:p>
        </w:tc>
        <w:tc>
          <w:tcPr>
            <w:tcW w:w="5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8B6D2" w14:textId="77777777" w:rsidR="004466A5" w:rsidRDefault="00000000">
            <w:pPr>
              <w:spacing w:after="0"/>
            </w:pPr>
            <w:r>
              <w:rPr>
                <w:sz w:val="18"/>
                <w:szCs w:val="18"/>
              </w:rPr>
              <w:t>Netz- oder Radardiagramm</w:t>
            </w:r>
          </w:p>
        </w:tc>
      </w:tr>
      <w:tr w:rsidR="004466A5" w14:paraId="7DD9D2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883DF0" w14:textId="77777777" w:rsidR="004466A5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Überleitung von Start- zu Endwert</w:t>
            </w:r>
          </w:p>
        </w:tc>
        <w:tc>
          <w:tcPr>
            <w:tcW w:w="5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BCE63F" w14:textId="77777777" w:rsidR="004466A5" w:rsidRDefault="00000000">
            <w:pPr>
              <w:spacing w:after="0"/>
            </w:pPr>
            <w:r>
              <w:rPr>
                <w:sz w:val="18"/>
                <w:szCs w:val="18"/>
              </w:rPr>
              <w:t>Wasserfalldiagramm</w:t>
            </w:r>
          </w:p>
        </w:tc>
      </w:tr>
      <w:tr w:rsidR="004466A5" w14:paraId="3DBA05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67D43D" w14:textId="77777777" w:rsidR="004466A5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Muster in großen Tabellen</w:t>
            </w:r>
          </w:p>
        </w:tc>
        <w:tc>
          <w:tcPr>
            <w:tcW w:w="5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45E048" w14:textId="77777777" w:rsidR="004466A5" w:rsidRDefault="00000000">
            <w:pPr>
              <w:spacing w:after="0"/>
            </w:pPr>
            <w:proofErr w:type="spellStart"/>
            <w:r>
              <w:rPr>
                <w:sz w:val="18"/>
                <w:szCs w:val="18"/>
              </w:rPr>
              <w:t>Heatmap</w:t>
            </w:r>
            <w:proofErr w:type="spellEnd"/>
          </w:p>
        </w:tc>
      </w:tr>
      <w:tr w:rsidR="004466A5" w14:paraId="6F8F5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7FFC14" w14:textId="77777777" w:rsidR="004466A5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Abläufe und Entscheidungen</w:t>
            </w:r>
          </w:p>
        </w:tc>
        <w:tc>
          <w:tcPr>
            <w:tcW w:w="5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F64A5B" w14:textId="77777777" w:rsidR="004466A5" w:rsidRDefault="00000000">
            <w:pPr>
              <w:spacing w:after="0"/>
            </w:pPr>
            <w:r>
              <w:rPr>
                <w:sz w:val="18"/>
                <w:szCs w:val="18"/>
              </w:rPr>
              <w:t>Flussdiagramm</w:t>
            </w:r>
          </w:p>
        </w:tc>
      </w:tr>
      <w:tr w:rsidR="004466A5" w14:paraId="22BE60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E2331B" w14:textId="77777777" w:rsidR="004466A5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Zeitplan und Abhängigkeiten</w:t>
            </w:r>
          </w:p>
        </w:tc>
        <w:tc>
          <w:tcPr>
            <w:tcW w:w="5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CF74BE" w14:textId="77777777" w:rsidR="004466A5" w:rsidRDefault="00000000">
            <w:pPr>
              <w:spacing w:after="0"/>
            </w:pPr>
            <w:r>
              <w:rPr>
                <w:sz w:val="18"/>
                <w:szCs w:val="18"/>
              </w:rPr>
              <w:t>Gantt-Diagramm</w:t>
            </w:r>
          </w:p>
        </w:tc>
      </w:tr>
      <w:tr w:rsidR="004466A5" w14:paraId="36FDA8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61566" w14:textId="77777777" w:rsidR="004466A5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Strukturen und Zuständigkeiten</w:t>
            </w:r>
          </w:p>
        </w:tc>
        <w:tc>
          <w:tcPr>
            <w:tcW w:w="5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1FE0BD" w14:textId="77777777" w:rsidR="004466A5" w:rsidRDefault="00000000">
            <w:pPr>
              <w:spacing w:after="0"/>
            </w:pPr>
            <w:r>
              <w:rPr>
                <w:sz w:val="18"/>
                <w:szCs w:val="18"/>
              </w:rPr>
              <w:t>Organigramm</w:t>
            </w:r>
          </w:p>
        </w:tc>
      </w:tr>
    </w:tbl>
    <w:p w14:paraId="3C25AC95" w14:textId="77777777" w:rsidR="004466A5" w:rsidRDefault="00000000">
      <w:pPr>
        <w:spacing w:before="120" w:after="120"/>
      </w:pPr>
      <w:r>
        <w:rPr>
          <w:i/>
          <w:iCs/>
          <w:color w:val="946600"/>
          <w:sz w:val="18"/>
          <w:szCs w:val="18"/>
        </w:rPr>
        <w:t>Alle Diagramme finden Sie bearbeitbar in der Excel-Datei und der PowerPoint-Präsentation des Baukastens. Die Zahlen sind Beispielwerte – ersetzen Sie sie durch Ihre eigenen Daten.</w:t>
      </w:r>
    </w:p>
    <w:p w14:paraId="0C5A9524" w14:textId="77777777" w:rsidR="004466A5" w:rsidRDefault="00000000">
      <w:pPr>
        <w:pStyle w:val="berschrift1"/>
        <w:pageBreakBefore/>
      </w:pPr>
      <w:r>
        <w:lastRenderedPageBreak/>
        <w:t>1. Säulen- und Balkendiagramm</w:t>
      </w:r>
    </w:p>
    <w:p w14:paraId="0A1844B9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44500ACD" wp14:editId="4DBB2241">
            <wp:extent cx="5219700" cy="2057400"/>
            <wp:effectExtent l="0" t="0" r="0" b="0"/>
            <wp:docPr id="1" name="d01.png" descr="Diagramm" title="d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11AFD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>Vergleicht Werte oder Mengen verschiedener Kategorien. Säulen verlaufen senkrecht, Balken waagerecht – Balken eignen sich für lange Beschriftungen.</w:t>
      </w:r>
    </w:p>
    <w:p w14:paraId="0B453514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Reklamationen je Fehlerart, Ausschuss je Linie, Audit-Ergebnisse je Prozesselement.</w:t>
      </w:r>
    </w:p>
    <w:p w14:paraId="7911F995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Nach Größe sortieren und eine Kategorie farblich hervorheben. Mit kumulierter Linie wird daraus ein Pareto-Diagramm.</w:t>
      </w:r>
    </w:p>
    <w:p w14:paraId="41A0C79C" w14:textId="77777777" w:rsidR="004466A5" w:rsidRDefault="00000000">
      <w:pPr>
        <w:pStyle w:val="berschrift1"/>
        <w:pageBreakBefore/>
      </w:pPr>
      <w:r>
        <w:lastRenderedPageBreak/>
        <w:t>2. Liniendiagramm (Kurvendiagramm)</w:t>
      </w:r>
    </w:p>
    <w:p w14:paraId="50167686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1F1DF1E7" wp14:editId="5AD60009">
            <wp:extent cx="5219700" cy="2390775"/>
            <wp:effectExtent l="0" t="0" r="0" b="0"/>
            <wp:docPr id="1482825502" name="d02.png" descr="Diagramm" title="d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DDE21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>Zeigt Entwicklungen, Trends und Verläufe über einen Zeitraum.</w:t>
      </w:r>
    </w:p>
    <w:p w14:paraId="5CCF5D98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ppm-Verlauf, Reklamationsquote, OEE oder Liefertreue pro Monat.</w:t>
      </w:r>
    </w:p>
    <w:p w14:paraId="1A46869C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Zielwert als gestrichelte Linie einzeichnen. Zeitachse immer gleichmäßig skalieren.</w:t>
      </w:r>
    </w:p>
    <w:p w14:paraId="1EA6C1DA" w14:textId="77777777" w:rsidR="004466A5" w:rsidRDefault="00000000">
      <w:pPr>
        <w:pStyle w:val="berschrift1"/>
      </w:pPr>
      <w:r>
        <w:t>3. Kreisdiagramm (Tortendiagramm)</w:t>
      </w:r>
    </w:p>
    <w:p w14:paraId="7E677DFE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5ECC404B" wp14:editId="5CCB7415">
            <wp:extent cx="3962400" cy="3009900"/>
            <wp:effectExtent l="0" t="0" r="0" b="0"/>
            <wp:docPr id="449813173" name="d03.png" descr="Diagramm" title="d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96325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>Stellt Anteile an einer Gesamtsumme dar, die zusammen 100 % ergeben – am besten bei wenigen Kategorien.</w:t>
      </w:r>
    </w:p>
    <w:p w14:paraId="773D759A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Ausschussursachen nach 5M, Verteilung der Reklamationen nach Kunden.</w:t>
      </w:r>
    </w:p>
    <w:p w14:paraId="0BD59C1F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Höchstens fünf bis sechs Segmente, größtes Segment bei 12 Uhr beginnen, Prozentwerte direkt beschriften.</w:t>
      </w:r>
    </w:p>
    <w:p w14:paraId="1CD2F874" w14:textId="77777777" w:rsidR="004466A5" w:rsidRDefault="00000000">
      <w:pPr>
        <w:pStyle w:val="berschrift1"/>
        <w:pageBreakBefore/>
      </w:pPr>
      <w:r>
        <w:lastRenderedPageBreak/>
        <w:t>4. Flächendiagramm</w:t>
      </w:r>
    </w:p>
    <w:p w14:paraId="64922D8A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0431269E" wp14:editId="6CA33ED5">
            <wp:extent cx="5219700" cy="2438400"/>
            <wp:effectExtent l="0" t="0" r="0" b="0"/>
            <wp:docPr id="1591358143" name="d04.png" descr="Diagramm" title="d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9F833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>Ähnelt dem Liniendiagramm, hebt aber den Bereich unter der Linie farbig hervor, um Mengen und Zuwächse zu betonen.</w:t>
      </w:r>
    </w:p>
    <w:p w14:paraId="68E39A09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Offene und erledigte Maßnahmen aus Audits oder 8D-Reports im Zeitverlauf.</w:t>
      </w:r>
    </w:p>
    <w:p w14:paraId="7E993F7B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Gestapelt verwenden, wenn die Summe zählt. Höchstens drei Flächen, sonst wird es unübersichtlich.</w:t>
      </w:r>
    </w:p>
    <w:p w14:paraId="58254752" w14:textId="77777777" w:rsidR="004466A5" w:rsidRDefault="00000000">
      <w:pPr>
        <w:pStyle w:val="berschrift1"/>
      </w:pPr>
      <w:r>
        <w:t>5. Streudiagramm (Punktwolke)</w:t>
      </w:r>
    </w:p>
    <w:p w14:paraId="292DF586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4DAE5D80" wp14:editId="3545D589">
            <wp:extent cx="5219700" cy="2581275"/>
            <wp:effectExtent l="0" t="0" r="0" b="0"/>
            <wp:docPr id="87994935" name="d05.png" descr="Diagramm" title="d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0DC43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>Zeigt den statistischen Zusammenhang zwischen zwei Variablen.</w:t>
      </w:r>
    </w:p>
    <w:p w14:paraId="647ED439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Einfluss von Temperatur, Druck oder Werkzeugstandzeit auf Ausschuss oder Maßhaltigkeit.</w:t>
      </w:r>
    </w:p>
    <w:p w14:paraId="70A07F66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Trendlinie und Korrelationskoeffizient ergänzen. Ein Zusammenhang beweist noch keine Ursache.</w:t>
      </w:r>
    </w:p>
    <w:p w14:paraId="58444D16" w14:textId="77777777" w:rsidR="004466A5" w:rsidRDefault="00000000">
      <w:pPr>
        <w:pStyle w:val="berschrift1"/>
        <w:pageBreakBefore/>
      </w:pPr>
      <w:r>
        <w:lastRenderedPageBreak/>
        <w:t>6. Histogramm</w:t>
      </w:r>
    </w:p>
    <w:p w14:paraId="4F4E2786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531DC109" wp14:editId="37834F0F">
            <wp:extent cx="5219700" cy="2447925"/>
            <wp:effectExtent l="0" t="0" r="0" b="0"/>
            <wp:docPr id="1946523785" name="d06.png" descr="Diagramm" title="d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F140E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>Ähnelt dem Säulendiagramm, stellt aber die Verteilung kontinuierlicher Messwerte in Klassen (Intervallen) dar.</w:t>
      </w:r>
    </w:p>
    <w:p w14:paraId="68C0FE6D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Verteilung von Messwerten mit Toleranzgrenzen als Basis für die Prozessfähigkeit (</w:t>
      </w:r>
      <w:proofErr w:type="spellStart"/>
      <w:r>
        <w:t>Cp</w:t>
      </w:r>
      <w:proofErr w:type="spellEnd"/>
      <w:r>
        <w:t xml:space="preserve">, </w:t>
      </w:r>
      <w:proofErr w:type="spellStart"/>
      <w:r>
        <w:t>Cpk</w:t>
      </w:r>
      <w:proofErr w:type="spellEnd"/>
      <w:r>
        <w:t>).</w:t>
      </w:r>
    </w:p>
    <w:p w14:paraId="4EED9548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Gleich breite Klassen wählen, Toleranzgrenzen und Sollmaß einzeichnen, mindestens 50 Messwerte verwenden.</w:t>
      </w:r>
    </w:p>
    <w:p w14:paraId="0B84C466" w14:textId="77777777" w:rsidR="004466A5" w:rsidRDefault="00000000">
      <w:pPr>
        <w:pStyle w:val="berschrift1"/>
      </w:pPr>
      <w:r>
        <w:t>7. Boxplot (Kastengrafik)</w:t>
      </w:r>
    </w:p>
    <w:p w14:paraId="7F6F3D57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437CD5A8" wp14:editId="271D5464">
            <wp:extent cx="5219700" cy="2409825"/>
            <wp:effectExtent l="0" t="0" r="0" b="0"/>
            <wp:docPr id="625975527" name="d07.png" descr="Diagramm" title="d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12CF6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 xml:space="preserve">Zeigt die Verteilung von Daten mit Median, </w:t>
      </w:r>
      <w:proofErr w:type="spellStart"/>
      <w:r>
        <w:t>Quartilen</w:t>
      </w:r>
      <w:proofErr w:type="spellEnd"/>
      <w:r>
        <w:t xml:space="preserve"> und Extremwerten auf einen Blick.</w:t>
      </w:r>
    </w:p>
    <w:p w14:paraId="0176CB0A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Vergleich der Streuung mehrerer Maschinen, Schichten, Werkzeuge oder Lieferanten.</w:t>
      </w:r>
    </w:p>
    <w:p w14:paraId="4557E0CD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Toleranzgrenzen einzeichnen. Ausreißer markieren und deren Ursache klären.</w:t>
      </w:r>
    </w:p>
    <w:p w14:paraId="5757EBB8" w14:textId="77777777" w:rsidR="004466A5" w:rsidRDefault="00000000">
      <w:pPr>
        <w:pStyle w:val="berschrift1"/>
        <w:pageBreakBefore/>
      </w:pPr>
      <w:r>
        <w:lastRenderedPageBreak/>
        <w:t>8. Netz- oder Radardiagramm</w:t>
      </w:r>
    </w:p>
    <w:p w14:paraId="62FACF94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2B3B494F" wp14:editId="1C783265">
            <wp:extent cx="3238500" cy="3105150"/>
            <wp:effectExtent l="0" t="0" r="0" b="0"/>
            <wp:docPr id="2077206913" name="d08.png" descr="Diagramm" title="d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A4385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>Vergleicht mehrere Kriterien auf kreisförmigen Achsen, oft als Soll-Ist-Vergleich.</w:t>
      </w:r>
    </w:p>
    <w:p w14:paraId="7DFD2E96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Qualifikationsprofil eines Mitarbeiters, Lieferantenbewertung, Reifegrad nach Prozesselementen.</w:t>
      </w:r>
    </w:p>
    <w:p w14:paraId="74F1388F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Einheitliche Skala für alle Achsen. Nicht mehr als acht Achsen verwenden.</w:t>
      </w:r>
    </w:p>
    <w:p w14:paraId="6513C0C1" w14:textId="77777777" w:rsidR="004466A5" w:rsidRDefault="00000000">
      <w:pPr>
        <w:pStyle w:val="berschrift1"/>
      </w:pPr>
      <w:r>
        <w:t>9. Wasserfalldiagramm</w:t>
      </w:r>
    </w:p>
    <w:p w14:paraId="41D6A13A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4A32063C" wp14:editId="7C2618D0">
            <wp:extent cx="5219700" cy="2619375"/>
            <wp:effectExtent l="0" t="0" r="0" b="0"/>
            <wp:docPr id="1901430617" name="d09.png" descr="Diagramm" title="d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4043C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>Veranschaulicht, wie ein Startwert durch positive und negative Zwischenschritte zu einem Endwert führt.</w:t>
      </w:r>
    </w:p>
    <w:p w14:paraId="69536DA7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Wirkung einzelner Maßnahmen auf ppm oder Qualitätskosten, Überleitung von Budget zu Ist.</w:t>
      </w:r>
    </w:p>
    <w:p w14:paraId="40A2832C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Start- und Endwert in einer neutralen Farbe, Verbesserungen und Verschlechterungen in klar unterscheidbaren Farben.</w:t>
      </w:r>
    </w:p>
    <w:p w14:paraId="358F1137" w14:textId="77777777" w:rsidR="004466A5" w:rsidRDefault="00000000">
      <w:pPr>
        <w:pStyle w:val="berschrift1"/>
        <w:pageBreakBefore/>
      </w:pPr>
      <w:r>
        <w:lastRenderedPageBreak/>
        <w:t xml:space="preserve">10. </w:t>
      </w:r>
      <w:proofErr w:type="spellStart"/>
      <w:r>
        <w:t>Heatmap</w:t>
      </w:r>
      <w:proofErr w:type="spellEnd"/>
      <w:r>
        <w:t xml:space="preserve"> (Wärmebild)</w:t>
      </w:r>
    </w:p>
    <w:p w14:paraId="4C9449D7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5C92EEC7" wp14:editId="0BDF3504">
            <wp:extent cx="4676775" cy="2124075"/>
            <wp:effectExtent l="0" t="0" r="0" b="0"/>
            <wp:docPr id="2070420185" name="d10.png" descr="Diagramm" title="d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1954B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>Nutzt Farben, um Häufungen, Cluster oder Werteunterschiede in Tabellen sichtbar zu machen.</w:t>
      </w:r>
    </w:p>
    <w:p w14:paraId="3C29566E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Fehler nach Linie und Wochentag, Risikomatrix aus Bedeutung und Auftreten, Kompetenzmatrix.</w:t>
      </w:r>
    </w:p>
    <w:p w14:paraId="18E5A14A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Eine Farbskala von hell nach dunkel verwenden und die Werte zusätzlich in die Felder schreiben.</w:t>
      </w:r>
    </w:p>
    <w:p w14:paraId="3C6959DE" w14:textId="77777777" w:rsidR="004466A5" w:rsidRDefault="00000000">
      <w:pPr>
        <w:pStyle w:val="berschrift1"/>
      </w:pPr>
      <w:r>
        <w:t>11. Flussdiagramm</w:t>
      </w:r>
    </w:p>
    <w:p w14:paraId="30A96627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0D01A370" wp14:editId="12E7B005">
            <wp:extent cx="3057525" cy="2505075"/>
            <wp:effectExtent l="0" t="0" r="0" b="0"/>
            <wp:docPr id="2097155434" name="d11.png" descr="Diagramm" title="d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0AB19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>Bildet Arbeitsabläufe, Prozesse und Entscheidungen mit Kästchen und Pfeilen ab.</w:t>
      </w:r>
    </w:p>
    <w:p w14:paraId="1370E27C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8D-Ablauf, Reklamationsprozess, Prozessablaufplan als Grundlage der Prozess-FMEA.</w:t>
      </w:r>
    </w:p>
    <w:p w14:paraId="6CAD6106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Eine Leserichtung durchhalten, Entscheidungen als Raute mit Ja/Nein-Pfeilen darstellen.</w:t>
      </w:r>
    </w:p>
    <w:p w14:paraId="527002F0" w14:textId="77777777" w:rsidR="004466A5" w:rsidRDefault="00000000">
      <w:pPr>
        <w:pStyle w:val="berschrift1"/>
        <w:pageBreakBefore/>
      </w:pPr>
      <w:r>
        <w:lastRenderedPageBreak/>
        <w:t>12. Gantt-Diagramm</w:t>
      </w:r>
    </w:p>
    <w:p w14:paraId="2E2D906C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5D58695C" wp14:editId="23CEDB72">
            <wp:extent cx="5219700" cy="1952625"/>
            <wp:effectExtent l="0" t="0" r="0" b="0"/>
            <wp:docPr id="22040036" name="d12.png" descr="Diagramm" title="d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A53E8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>Dient der Projektplanung und zeigt Zeitplan, Dauer und Abhängigkeiten von Aufgaben.</w:t>
      </w:r>
    </w:p>
    <w:p w14:paraId="1841A880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APQP-Phasen bis zum SOP, Task-Force-Plan, Produktionsverlagerung.</w:t>
      </w:r>
    </w:p>
    <w:p w14:paraId="29E9F956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Meilensteine und Quality Gates als senkrechte Linien markieren, den kritischen Pfad hervorheben.</w:t>
      </w:r>
    </w:p>
    <w:p w14:paraId="100F32FC" w14:textId="77777777" w:rsidR="004466A5" w:rsidRDefault="00000000">
      <w:pPr>
        <w:pStyle w:val="berschrift1"/>
      </w:pPr>
      <w:r>
        <w:t>13. Organigramm (Hierarchiebaum)</w:t>
      </w:r>
    </w:p>
    <w:p w14:paraId="32239FC0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51C562E7" wp14:editId="1C70247E">
            <wp:extent cx="4324350" cy="2133600"/>
            <wp:effectExtent l="0" t="0" r="0" b="0"/>
            <wp:docPr id="37447801" name="d13.png" descr="Diagramm" title="d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4570D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>Zeigt Strukturen wie Abteilungen, Projektorganisationen oder Verantwortlichkeiten.</w:t>
      </w:r>
    </w:p>
    <w:p w14:paraId="707C6071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Organisation einer Task Force, Projektorganisation im Serienanlauf, QM-Organisation.</w:t>
      </w:r>
    </w:p>
    <w:p w14:paraId="6E8CBD45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Höchstens drei bis vier Ebenen. Funktionen statt Namen verwenden, wenn sich Besetzungen ändern.</w:t>
      </w:r>
    </w:p>
    <w:p w14:paraId="2845E166" w14:textId="77777777" w:rsidR="004466A5" w:rsidRDefault="00000000">
      <w:pPr>
        <w:pStyle w:val="berschrift1"/>
        <w:pageBreakBefore/>
      </w:pPr>
      <w:r>
        <w:lastRenderedPageBreak/>
        <w:t>14. Piktogramm</w:t>
      </w:r>
    </w:p>
    <w:p w14:paraId="1BE4DE19" w14:textId="77777777" w:rsidR="004466A5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1534B0D2" wp14:editId="217020DD">
            <wp:extent cx="4676775" cy="1590675"/>
            <wp:effectExtent l="0" t="0" r="0" b="0"/>
            <wp:docPr id="2083579205" name="d14.png" descr="Diagramm" title="d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928F8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Wofür: </w:t>
      </w:r>
      <w:r>
        <w:t>Arbeitet mit Symbolen oder Figuren, um Verhältnisse bildlich und leicht verständlich darzustellen.</w:t>
      </w:r>
    </w:p>
    <w:p w14:paraId="64157B4C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Beispiel im Qualitätsmanagement: </w:t>
      </w:r>
      <w:r>
        <w:t>Schulungsquote, Anteil qualifizierter Mitarbeiter, Ergebnisse für Aushänge am Shopfloor.</w:t>
      </w:r>
    </w:p>
    <w:p w14:paraId="2727FE35" w14:textId="77777777" w:rsidR="004466A5" w:rsidRDefault="00000000">
      <w:pPr>
        <w:spacing w:after="80"/>
      </w:pPr>
      <w:r>
        <w:rPr>
          <w:b/>
          <w:bCs/>
          <w:color w:val="0B2E5B"/>
        </w:rPr>
        <w:t xml:space="preserve">Tipp: </w:t>
      </w:r>
      <w:r>
        <w:t>Ein Symbol steht für eine feste Menge. Für exakte Werte die Zahl zusätzlich nennen.</w:t>
      </w:r>
    </w:p>
    <w:sectPr w:rsidR="004466A5">
      <w:headerReference w:type="default" r:id="rId21"/>
      <w:footerReference w:type="default" r:id="rId22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A4DD3" w14:textId="77777777" w:rsidR="002C1630" w:rsidRDefault="002C1630">
      <w:pPr>
        <w:spacing w:after="0" w:line="240" w:lineRule="auto"/>
      </w:pPr>
      <w:r>
        <w:separator/>
      </w:r>
    </w:p>
  </w:endnote>
  <w:endnote w:type="continuationSeparator" w:id="0">
    <w:p w14:paraId="7719C5AC" w14:textId="77777777" w:rsidR="002C1630" w:rsidRDefault="002C1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6DB10" w14:textId="77777777" w:rsidR="004466A5" w:rsidRDefault="00000000">
    <w:pPr>
      <w:tabs>
        <w:tab w:val="right" w:pos="9638"/>
      </w:tabs>
    </w:pPr>
    <w:r>
      <w:rPr>
        <w:color w:val="5B6577"/>
        <w:sz w:val="14"/>
        <w:szCs w:val="14"/>
      </w:rPr>
      <w:t>QBM Stuttgart · Stuttgarter Straße 122 · 70469 Stuttgart · +49 711 217 20 218 · mail(a)qbm-stuttgart.de · www.qbm-stuttgart.com</w:t>
    </w:r>
    <w:r>
      <w:rPr>
        <w:color w:val="5B6577"/>
        <w:sz w:val="14"/>
        <w:szCs w:val="14"/>
      </w:rPr>
      <w:tab/>
      <w:t xml:space="preserve">Seite </w:t>
    </w:r>
    <w:r>
      <w:rPr>
        <w:color w:val="5B6577"/>
        <w:sz w:val="14"/>
        <w:szCs w:val="14"/>
      </w:rPr>
      <w:fldChar w:fldCharType="begin"/>
    </w:r>
    <w:r>
      <w:rPr>
        <w:color w:val="5B6577"/>
        <w:sz w:val="14"/>
        <w:szCs w:val="14"/>
      </w:rPr>
      <w:instrText>PAGE</w:instrText>
    </w:r>
    <w:r>
      <w:rPr>
        <w:color w:val="5B6577"/>
        <w:sz w:val="14"/>
        <w:szCs w:val="14"/>
      </w:rPr>
      <w:fldChar w:fldCharType="separate"/>
    </w:r>
    <w:r w:rsidR="009F405D">
      <w:rPr>
        <w:noProof/>
        <w:color w:val="5B6577"/>
        <w:sz w:val="14"/>
        <w:szCs w:val="14"/>
      </w:rPr>
      <w:t>1</w:t>
    </w:r>
    <w:r>
      <w:rPr>
        <w:color w:val="5B6577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695E2" w14:textId="77777777" w:rsidR="002C1630" w:rsidRDefault="002C1630">
      <w:pPr>
        <w:spacing w:after="0" w:line="240" w:lineRule="auto"/>
      </w:pPr>
      <w:r>
        <w:separator/>
      </w:r>
    </w:p>
  </w:footnote>
  <w:footnote w:type="continuationSeparator" w:id="0">
    <w:p w14:paraId="0A7C400D" w14:textId="77777777" w:rsidR="002C1630" w:rsidRDefault="002C1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D5EA4" w14:textId="68023E61" w:rsidR="004466A5" w:rsidRDefault="00000000">
    <w:pPr>
      <w:pBdr>
        <w:bottom w:val="single" w:sz="6" w:space="6" w:color="E3A520"/>
      </w:pBdr>
      <w:tabs>
        <w:tab w:val="right" w:pos="9638"/>
      </w:tabs>
    </w:pPr>
    <w:r>
      <w:rPr>
        <w:b/>
        <w:bCs/>
        <w:color w:val="0B2E5B"/>
      </w:rPr>
      <w:t xml:space="preserve">  QBM Stuttgart</w:t>
    </w:r>
    <w:r>
      <w:rPr>
        <w:b/>
        <w:bCs/>
        <w:color w:val="946600"/>
        <w:sz w:val="18"/>
        <w:szCs w:val="18"/>
      </w:rPr>
      <w:tab/>
      <w:t>Go for Quality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90328"/>
    <w:multiLevelType w:val="hybridMultilevel"/>
    <w:tmpl w:val="A536B804"/>
    <w:lvl w:ilvl="0" w:tplc="F1945922">
      <w:start w:val="1"/>
      <w:numFmt w:val="bullet"/>
      <w:lvlText w:val="•"/>
      <w:lvlJc w:val="left"/>
      <w:pPr>
        <w:ind w:left="360" w:hanging="260"/>
      </w:pPr>
    </w:lvl>
    <w:lvl w:ilvl="1" w:tplc="0A00E55A">
      <w:numFmt w:val="decimal"/>
      <w:lvlText w:val=""/>
      <w:lvlJc w:val="left"/>
    </w:lvl>
    <w:lvl w:ilvl="2" w:tplc="4F365000">
      <w:numFmt w:val="decimal"/>
      <w:lvlText w:val=""/>
      <w:lvlJc w:val="left"/>
    </w:lvl>
    <w:lvl w:ilvl="3" w:tplc="627CCAB4">
      <w:numFmt w:val="decimal"/>
      <w:lvlText w:val=""/>
      <w:lvlJc w:val="left"/>
    </w:lvl>
    <w:lvl w:ilvl="4" w:tplc="EAA6A9B4">
      <w:numFmt w:val="decimal"/>
      <w:lvlText w:val=""/>
      <w:lvlJc w:val="left"/>
    </w:lvl>
    <w:lvl w:ilvl="5" w:tplc="00B8E524">
      <w:numFmt w:val="decimal"/>
      <w:lvlText w:val=""/>
      <w:lvlJc w:val="left"/>
    </w:lvl>
    <w:lvl w:ilvl="6" w:tplc="40705262">
      <w:numFmt w:val="decimal"/>
      <w:lvlText w:val=""/>
      <w:lvlJc w:val="left"/>
    </w:lvl>
    <w:lvl w:ilvl="7" w:tplc="0B2ABA96">
      <w:numFmt w:val="decimal"/>
      <w:lvlText w:val=""/>
      <w:lvlJc w:val="left"/>
    </w:lvl>
    <w:lvl w:ilvl="8" w:tplc="C510A67C">
      <w:numFmt w:val="decimal"/>
      <w:lvlText w:val=""/>
      <w:lvlJc w:val="left"/>
    </w:lvl>
  </w:abstractNum>
  <w:abstractNum w:abstractNumId="1" w15:restartNumberingAfterBreak="0">
    <w:nsid w:val="33A57FD2"/>
    <w:multiLevelType w:val="hybridMultilevel"/>
    <w:tmpl w:val="EE2CC47A"/>
    <w:lvl w:ilvl="0" w:tplc="11C8924C">
      <w:start w:val="1"/>
      <w:numFmt w:val="bullet"/>
      <w:lvlText w:val="●"/>
      <w:lvlJc w:val="left"/>
      <w:pPr>
        <w:ind w:left="720" w:hanging="360"/>
      </w:pPr>
    </w:lvl>
    <w:lvl w:ilvl="1" w:tplc="D494EB72">
      <w:start w:val="1"/>
      <w:numFmt w:val="bullet"/>
      <w:lvlText w:val="○"/>
      <w:lvlJc w:val="left"/>
      <w:pPr>
        <w:ind w:left="1440" w:hanging="360"/>
      </w:pPr>
    </w:lvl>
    <w:lvl w:ilvl="2" w:tplc="FB3A9948">
      <w:start w:val="1"/>
      <w:numFmt w:val="bullet"/>
      <w:lvlText w:val="■"/>
      <w:lvlJc w:val="left"/>
      <w:pPr>
        <w:ind w:left="2160" w:hanging="360"/>
      </w:pPr>
    </w:lvl>
    <w:lvl w:ilvl="3" w:tplc="C796749C">
      <w:start w:val="1"/>
      <w:numFmt w:val="bullet"/>
      <w:lvlText w:val="●"/>
      <w:lvlJc w:val="left"/>
      <w:pPr>
        <w:ind w:left="2880" w:hanging="360"/>
      </w:pPr>
    </w:lvl>
    <w:lvl w:ilvl="4" w:tplc="1CDED5D4">
      <w:start w:val="1"/>
      <w:numFmt w:val="bullet"/>
      <w:lvlText w:val="○"/>
      <w:lvlJc w:val="left"/>
      <w:pPr>
        <w:ind w:left="3600" w:hanging="360"/>
      </w:pPr>
    </w:lvl>
    <w:lvl w:ilvl="5" w:tplc="A5808E50">
      <w:start w:val="1"/>
      <w:numFmt w:val="bullet"/>
      <w:lvlText w:val="■"/>
      <w:lvlJc w:val="left"/>
      <w:pPr>
        <w:ind w:left="4320" w:hanging="360"/>
      </w:pPr>
    </w:lvl>
    <w:lvl w:ilvl="6" w:tplc="079078A2">
      <w:start w:val="1"/>
      <w:numFmt w:val="bullet"/>
      <w:lvlText w:val="●"/>
      <w:lvlJc w:val="left"/>
      <w:pPr>
        <w:ind w:left="5040" w:hanging="360"/>
      </w:pPr>
    </w:lvl>
    <w:lvl w:ilvl="7" w:tplc="6EC86286">
      <w:start w:val="1"/>
      <w:numFmt w:val="bullet"/>
      <w:lvlText w:val="●"/>
      <w:lvlJc w:val="left"/>
      <w:pPr>
        <w:ind w:left="5760" w:hanging="360"/>
      </w:pPr>
    </w:lvl>
    <w:lvl w:ilvl="8" w:tplc="4CACB01E">
      <w:start w:val="1"/>
      <w:numFmt w:val="bullet"/>
      <w:lvlText w:val="●"/>
      <w:lvlJc w:val="left"/>
      <w:pPr>
        <w:ind w:left="6480" w:hanging="360"/>
      </w:pPr>
    </w:lvl>
  </w:abstractNum>
  <w:num w:numId="1" w16cid:durableId="15631322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6A5"/>
    <w:rsid w:val="002C1630"/>
    <w:rsid w:val="004466A5"/>
    <w:rsid w:val="00727CDE"/>
    <w:rsid w:val="009F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D5545"/>
  <w15:docId w15:val="{3F9A5F41-72E2-47C9-8FC5-EC8B9D6F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E2533"/>
        <w:lang w:val="de-DE" w:eastAsia="de-DE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spacing w:before="280"/>
      <w:outlineLvl w:val="0"/>
    </w:pPr>
    <w:rPr>
      <w:b/>
      <w:bCs/>
      <w:color w:val="0B2E5B"/>
      <w:sz w:val="28"/>
      <w:szCs w:val="28"/>
    </w:rPr>
  </w:style>
  <w:style w:type="paragraph" w:styleId="berschrift2">
    <w:name w:val="heading 2"/>
    <w:uiPriority w:val="9"/>
    <w:unhideWhenUsed/>
    <w:qFormat/>
    <w:pPr>
      <w:keepNext/>
      <w:spacing w:before="220" w:after="80"/>
      <w:outlineLvl w:val="1"/>
    </w:pPr>
    <w:rPr>
      <w:b/>
      <w:bCs/>
      <w:color w:val="0B2E5B"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pPr>
      <w:spacing w:after="120"/>
    </w:pPr>
    <w:rPr>
      <w:b/>
      <w:bCs/>
      <w:color w:val="0B2E5B"/>
      <w:sz w:val="40"/>
      <w:szCs w:val="40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pPr>
      <w:spacing w:after="0" w:line="240" w:lineRule="auto"/>
    </w:p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pPr>
      <w:spacing w:after="0" w:line="240" w:lineRule="auto"/>
    </w:p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9F4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F405D"/>
  </w:style>
  <w:style w:type="paragraph" w:styleId="Fuzeile">
    <w:name w:val="footer"/>
    <w:basedOn w:val="Standard"/>
    <w:link w:val="FuzeileZchn"/>
    <w:uiPriority w:val="99"/>
    <w:unhideWhenUsed/>
    <w:rsid w:val="009F4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F4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788</Words>
  <Characters>4969</Characters>
  <Application>Microsoft Office Word</Application>
  <DocSecurity>0</DocSecurity>
  <Lines>41</Lines>
  <Paragraphs>11</Paragraphs>
  <ScaleCrop>false</ScaleCrop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Diagramm-Leitfaden</dc:title>
  <dc:creator>QBM Stuttgart</dc:creator>
  <dc:description>QBM Stuttgart – Go for Quality</dc:description>
  <cp:lastModifiedBy>QBM Stuttgart</cp:lastModifiedBy>
  <cp:revision>2</cp:revision>
  <dcterms:created xsi:type="dcterms:W3CDTF">2026-10-17T22:00:00Z</dcterms:created>
  <dcterms:modified xsi:type="dcterms:W3CDTF">2026-10-20T04:29:00Z</dcterms:modified>
</cp:coreProperties>
</file>